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40E2">
      <w:pPr>
        <w:pStyle w:val="0secttl"/>
        <w:rPr>
          <w:rFonts w:ascii="MyriadPro-SemiboldIt" w:hAnsi="MyriadPro-SemiboldIt" w:cs="MyriadPro-SemiboldIt"/>
          <w:b w:val="0"/>
          <w:bCs w:val="0"/>
          <w:i/>
          <w:iCs/>
          <w:sz w:val="22"/>
          <w:szCs w:val="22"/>
        </w:rPr>
      </w:pPr>
      <w:bookmarkStart w:id="0" w:name="_GoBack"/>
      <w:bookmarkEnd w:id="0"/>
      <w:r>
        <w:t>Executive summary</w:t>
      </w:r>
    </w:p>
    <w:p w:rsidR="00000000" w:rsidRDefault="002040E2">
      <w:pPr>
        <w:pStyle w:val="1para1st"/>
      </w:pPr>
      <w:r>
        <w:t>The allocation of investment capital, both internationally and domestically, is increasingly acknowledged as a leading contributor to a jurisdiction’</w:t>
      </w:r>
      <w:r>
        <w:t>s economic success or failure. It is, therefore, critical to have objective, empirical measurements that document diffe</w:t>
      </w:r>
      <w:r>
        <w:t>r</w:t>
      </w:r>
      <w:r>
        <w:t>ences in investment climates. The Provincial Investment Climate Index is an important step toward creating empirical measurements of inv</w:t>
      </w:r>
      <w:r>
        <w:t>estment climates since it quantit</w:t>
      </w:r>
      <w:r>
        <w:t>a</w:t>
      </w:r>
      <w:r>
        <w:t>tively evaluates public policies that create and sustain positive investment climates.</w:t>
      </w:r>
    </w:p>
    <w:p w:rsidR="00000000" w:rsidRDefault="002040E2">
      <w:pPr>
        <w:pStyle w:val="1para2nd"/>
      </w:pPr>
      <w:r>
        <w:t>The basis of the Index is the Investment Managers Survey (IMS) series undertaken by the Fraser Institute between 1994 and 2004. Canada’</w:t>
      </w:r>
      <w:r>
        <w:t xml:space="preserve">s leading money managers were regularly surveyed on a host of issues, including provincial investment climates and the policies that contribute to positive and negative climates. The policies identified in those surveys (1998–2004) were used to create the </w:t>
      </w:r>
      <w:r>
        <w:t>Provincial Investment Climate Index.</w:t>
      </w:r>
    </w:p>
    <w:p w:rsidR="00000000" w:rsidRDefault="002040E2">
      <w:pPr>
        <w:pStyle w:val="3subhead1"/>
      </w:pPr>
      <w:r>
        <w:t>Provincial Investment Climate Index</w:t>
      </w:r>
    </w:p>
    <w:p w:rsidR="00000000" w:rsidRDefault="002040E2">
      <w:pPr>
        <w:pStyle w:val="1para1st"/>
      </w:pPr>
      <w:r>
        <w:t>The Provincial Investment Climate Index includes seven components: (1) Corporate i</w:t>
      </w:r>
      <w:r>
        <w:t>n</w:t>
      </w:r>
      <w:r>
        <w:t>come tax (CIT), (2) Fiscal prudence, (3) Personal income tax (PIT), (4) Transportation i</w:t>
      </w:r>
      <w:r>
        <w:t>n</w:t>
      </w:r>
      <w:r>
        <w:t>frastructur</w:t>
      </w:r>
      <w:r>
        <w:t>e, (5) Corporate capital tax (CCT), (6) </w:t>
      </w:r>
      <w:proofErr w:type="spellStart"/>
      <w:r>
        <w:t>Labour</w:t>
      </w:r>
      <w:proofErr w:type="spellEnd"/>
      <w:r>
        <w:t xml:space="preserve"> market regulation, and (7) Bu</w:t>
      </w:r>
      <w:r>
        <w:t>r</w:t>
      </w:r>
      <w:r>
        <w:t xml:space="preserve">den of regulation. These components were assessed by the IMS respondents as having an important influence on the creation and maintenance of a positive investment climate. </w:t>
      </w:r>
    </w:p>
    <w:p w:rsidR="00000000" w:rsidRDefault="002040E2">
      <w:pPr>
        <w:pStyle w:val="1para2nd"/>
      </w:pPr>
      <w:r>
        <w:t>Canada</w:t>
      </w:r>
      <w:r>
        <w:t>’s three western provinces, Alberta, Saskatchewan, and British Columbia, topped the rankings for the 2009 Provincial Investment Climate Index. Alberta ranked first with a score of 8.5 out of 10 and was clearly Canada’s top province (</w:t>
      </w:r>
      <w:r>
        <w:rPr>
          <w:rStyle w:val="0fggtbl"/>
        </w:rPr>
        <w:t>figure 1, table 1</w:t>
      </w:r>
      <w:r>
        <w:t>). Sas</w:t>
      </w:r>
      <w:r>
        <w:t>katchewan (6.6) and British Columbia (6.0</w:t>
      </w:r>
      <w:proofErr w:type="gramStart"/>
      <w:r>
        <w:t>)followed</w:t>
      </w:r>
      <w:proofErr w:type="gramEnd"/>
      <w:r>
        <w:t xml:space="preserve"> some distance behind. Ne</w:t>
      </w:r>
      <w:r>
        <w:t>w</w:t>
      </w:r>
      <w:r>
        <w:t>foundland &amp; Labrador, with a score of 5.4, ranked 4</w:t>
      </w:r>
      <w:r>
        <w:rPr>
          <w:vertAlign w:val="superscript"/>
        </w:rPr>
        <w:t>th</w:t>
      </w:r>
      <w:r>
        <w:t xml:space="preserve"> and was the last province to score at or above 5.0.</w:t>
      </w:r>
    </w:p>
    <w:p w:rsidR="00000000" w:rsidRDefault="002040E2">
      <w:pPr>
        <w:pStyle w:val="1para2nd"/>
      </w:pPr>
      <w:r>
        <w:t>All of the remaining provinces received scores below 5.0, indicating relat</w:t>
      </w:r>
      <w:r>
        <w:t>ively poor performance in creating and maintaining a positive investment climate. Ontario (4.9) and Quebec (3.3) ranked 5</w:t>
      </w:r>
      <w:r>
        <w:rPr>
          <w:vertAlign w:val="superscript"/>
        </w:rPr>
        <w:t>th</w:t>
      </w:r>
      <w:r>
        <w:t xml:space="preserve"> and 8</w:t>
      </w:r>
      <w:r>
        <w:rPr>
          <w:vertAlign w:val="superscript"/>
        </w:rPr>
        <w:t>th</w:t>
      </w:r>
      <w:r>
        <w:t>, which is troubling since they are the most populous provinces in Canada and are of great economic importance to the country</w:t>
      </w:r>
      <w:r>
        <w:t>. Prince E</w:t>
      </w:r>
      <w:r>
        <w:t>d</w:t>
      </w:r>
      <w:r>
        <w:t xml:space="preserve">ward Island ranked last with a score of 3.2 out of 10. </w:t>
      </w:r>
    </w:p>
    <w:p w:rsidR="00000000" w:rsidRDefault="002040E2">
      <w:pPr>
        <w:pStyle w:val="3subhead2"/>
      </w:pPr>
      <w:r>
        <w:t>Components of the Provincial Investment Climate Index</w:t>
      </w:r>
    </w:p>
    <w:p w:rsidR="00000000" w:rsidRDefault="002040E2">
      <w:pPr>
        <w:pStyle w:val="4listRun-in"/>
      </w:pPr>
      <w:r>
        <w:tab/>
        <w:t>1</w:t>
      </w:r>
      <w:r>
        <w:tab/>
        <w:t>Corporate income tax</w:t>
      </w:r>
      <w:r>
        <w:t> </w:t>
      </w:r>
      <w:proofErr w:type="gramStart"/>
      <w:r>
        <w:t>This</w:t>
      </w:r>
      <w:proofErr w:type="gramEnd"/>
      <w:r>
        <w:t xml:space="preserve"> component assesses the degree to which provinces tax business profits in the form of corporate income taxe</w:t>
      </w:r>
      <w:r>
        <w:t>s. Alberta received the highest score with a perfect 10.0 out of 10. British Columbia and Quebec followed with scores of 8.3 and 6.8, respectively. Three other provinces received scores above 5.0: Saskatchewan (6.7), Manitoba (5.8), and New Brunswick (5.8)</w:t>
      </w:r>
      <w:r>
        <w:t>. The remaining provinces all received scores of 5.0 or lower with Nova Scotia and Prince Edward Island tying for last place.</w:t>
      </w:r>
    </w:p>
    <w:p w:rsidR="00000000" w:rsidRDefault="002040E2">
      <w:pPr>
        <w:pStyle w:val="4listRun-in"/>
      </w:pPr>
      <w:r>
        <w:tab/>
        <w:t>2</w:t>
      </w:r>
      <w:r>
        <w:tab/>
        <w:t>Fiscal prudence</w:t>
      </w:r>
      <w:r>
        <w:t> </w:t>
      </w:r>
      <w:r>
        <w:t>Fiscal prudence measures how well provincial governments have ma</w:t>
      </w:r>
      <w:r>
        <w:t>n</w:t>
      </w:r>
      <w:r>
        <w:t>aged their budgets and whether government spen</w:t>
      </w:r>
      <w:r>
        <w:t xml:space="preserve">ding is sustainable. Alberta received </w:t>
      </w:r>
      <w:r>
        <w:lastRenderedPageBreak/>
        <w:t>the highest score (8.8 out of 10), followed by Saskatchewan with a score of 7.7. Only two other provinces received scores above 5.0: Newfoundland &amp; Labrador (7.6) and British Columbia (6.5). Of all the provinces, Quebe</w:t>
      </w:r>
      <w:r>
        <w:t>c received the lowest score (0.6).</w:t>
      </w:r>
    </w:p>
    <w:p w:rsidR="00000000" w:rsidRDefault="002040E2">
      <w:pPr>
        <w:pStyle w:val="4listRun-in"/>
      </w:pPr>
      <w:r>
        <w:tab/>
        <w:t>3</w:t>
      </w:r>
      <w:r>
        <w:tab/>
        <w:t>Personal income tax</w:t>
      </w:r>
      <w:r>
        <w:t> </w:t>
      </w:r>
      <w:proofErr w:type="gramStart"/>
      <w:r>
        <w:t>This</w:t>
      </w:r>
      <w:proofErr w:type="gramEnd"/>
      <w:r>
        <w:t xml:space="preserve"> component measures the personal income-tax burden based on income-tax rates and the levels of income at which the various rates apply. The three western Canadian provinces (Alberta, British Col</w:t>
      </w:r>
      <w:r>
        <w:t xml:space="preserve">umbia, and Saskatchewan) dominated this component of the Index. Alberta ranked first with a perfect score of 10.0 because of its single-rate income tax. British Columbia and Saskatchewan followed with scores of 7.6 and 5.5. Ontario and New Brunswick (both </w:t>
      </w:r>
      <w:r>
        <w:t>with a score of 5.4) were the only other provinces to receive a score above 5.0. Manitoba received the lowest score (2.4) and ranked last on this component of the Index because it has relatively high personal i</w:t>
      </w:r>
      <w:r>
        <w:t>n</w:t>
      </w:r>
      <w:r>
        <w:t>come-tax rates that are effective at relative</w:t>
      </w:r>
      <w:r>
        <w:t>ly low levels of income.</w:t>
      </w:r>
    </w:p>
    <w:p w:rsidR="00000000" w:rsidRDefault="002040E2">
      <w:pPr>
        <w:pStyle w:val="4listRun-in"/>
      </w:pPr>
      <w:r>
        <w:tab/>
        <w:t>4</w:t>
      </w:r>
      <w:r>
        <w:tab/>
        <w:t>Transportation infrastructure</w:t>
      </w:r>
      <w:r>
        <w:t> </w:t>
      </w:r>
      <w:proofErr w:type="gramStart"/>
      <w:r>
        <w:t>This</w:t>
      </w:r>
      <w:proofErr w:type="gramEnd"/>
      <w:r>
        <w:t xml:space="preserve"> component assesses the transportation infrastructure in each province including highways, urban transit, air, rail, and marine service. Specif</w:t>
      </w:r>
      <w:r>
        <w:t>i</w:t>
      </w:r>
      <w:r>
        <w:t>cally, it examines the extent, use, accessibility,</w:t>
      </w:r>
      <w:r>
        <w:t xml:space="preserve"> cost, and condition of each mode of transportation. Overall, Nova Scotia ranked first with a score of 8.2 out of 10. Ontario (6.8) ranked second and Manitoba and New Brunswick tied in the third position with a score of 6.7. The comparatively weak scores o</w:t>
      </w:r>
      <w:r>
        <w:t xml:space="preserve">f Saskatchewan (5.1) and British Columbia (3.6) indicate a dramatic need for transportation infrastructure improvement. </w:t>
      </w:r>
    </w:p>
    <w:p w:rsidR="00000000" w:rsidRDefault="002040E2">
      <w:pPr>
        <w:pStyle w:val="4listRun-in"/>
      </w:pPr>
      <w:r>
        <w:tab/>
        <w:t>5</w:t>
      </w:r>
      <w:r>
        <w:tab/>
        <w:t>Corporate capital tax</w:t>
      </w:r>
      <w:r>
        <w:t> </w:t>
      </w:r>
      <w:proofErr w:type="gramStart"/>
      <w:r>
        <w:t>This</w:t>
      </w:r>
      <w:proofErr w:type="gramEnd"/>
      <w:r>
        <w:t xml:space="preserve"> component of the Index evaluates the use of corporate capital taxes. The western Canadian provinces occup</w:t>
      </w:r>
      <w:r>
        <w:t>ied the top of the rankings. Alberta ranked first (10.0 out of 10) since it is the only province to have completely eliminated the use of such taxes. Saskatchewan and British Columbia also performed well with scores of 9.0 and 8.5, respectively. New Brunsw</w:t>
      </w:r>
      <w:r>
        <w:t>ick (6.6), Ontario (6.4), Newfoundland &amp; Labrador (5.8), and Prince Edward Island (5.1) all received scores above 5.0. The scores generally reflect the trend away from using such taxes, given their high economic costs. The r</w:t>
      </w:r>
      <w:r>
        <w:t>e</w:t>
      </w:r>
      <w:r>
        <w:t>maining three provinces receive</w:t>
      </w:r>
      <w:r>
        <w:t xml:space="preserve">d scores below 5.0. Nova Scotia received the lowest score (2.0) and ranked last among the provinces. </w:t>
      </w:r>
    </w:p>
    <w:p w:rsidR="00000000" w:rsidRDefault="002040E2">
      <w:pPr>
        <w:pStyle w:val="4listRun-in"/>
      </w:pPr>
      <w:r>
        <w:tab/>
        <w:t>6</w:t>
      </w:r>
      <w:r>
        <w:tab/>
      </w:r>
      <w:proofErr w:type="spellStart"/>
      <w:r>
        <w:t>Labour</w:t>
      </w:r>
      <w:proofErr w:type="spellEnd"/>
      <w:r>
        <w:t xml:space="preserve"> market regulation</w:t>
      </w:r>
      <w:r>
        <w:t> </w:t>
      </w:r>
      <w:proofErr w:type="gramStart"/>
      <w:r>
        <w:t>This</w:t>
      </w:r>
      <w:proofErr w:type="gramEnd"/>
      <w:r>
        <w:t xml:space="preserve"> component of the Index evaluates the </w:t>
      </w:r>
      <w:proofErr w:type="spellStart"/>
      <w:r>
        <w:t>labour</w:t>
      </w:r>
      <w:proofErr w:type="spellEnd"/>
      <w:r>
        <w:t xml:space="preserve"> relations laws of a province to gauge differences in </w:t>
      </w:r>
      <w:proofErr w:type="spellStart"/>
      <w:r>
        <w:t>labour</w:t>
      </w:r>
      <w:proofErr w:type="spellEnd"/>
      <w:r>
        <w:t xml:space="preserve"> laws generally. A</w:t>
      </w:r>
      <w:r>
        <w:t xml:space="preserve">lberta received a score of 5.3 out of 10 and was the only province to receive a score of 5.0 or higher. The low scores across the board indicate that provincial </w:t>
      </w:r>
      <w:proofErr w:type="spellStart"/>
      <w:r>
        <w:t>labour</w:t>
      </w:r>
      <w:proofErr w:type="spellEnd"/>
      <w:r>
        <w:t xml:space="preserve"> market regulations need to be r</w:t>
      </w:r>
      <w:r>
        <w:t>e</w:t>
      </w:r>
      <w:r>
        <w:t>formed.</w:t>
      </w:r>
    </w:p>
    <w:p w:rsidR="00000000" w:rsidRDefault="002040E2">
      <w:pPr>
        <w:pStyle w:val="4listRun-in"/>
      </w:pPr>
      <w:r>
        <w:tab/>
        <w:t>7</w:t>
      </w:r>
      <w:r>
        <w:tab/>
        <w:t>Burden of regulation</w:t>
      </w:r>
      <w:r>
        <w:t> </w:t>
      </w:r>
      <w:proofErr w:type="gramStart"/>
      <w:r>
        <w:t>This</w:t>
      </w:r>
      <w:proofErr w:type="gramEnd"/>
      <w:r>
        <w:t xml:space="preserve"> component measures </w:t>
      </w:r>
      <w:r>
        <w:t xml:space="preserve">the burden of government regulations, often referred to as “red tape.” This measure is based on a survey of regulatory costs </w:t>
      </w:r>
      <w:proofErr w:type="gramStart"/>
      <w:r>
        <w:t>completed</w:t>
      </w:r>
      <w:proofErr w:type="gramEnd"/>
      <w:r>
        <w:t xml:space="preserve"> by the Canadian Federation of Independent Business (CFIB). The specific measure used is the estimated regulatory cost as </w:t>
      </w:r>
      <w:r>
        <w:t>a percentage of the provincial econ</w:t>
      </w:r>
      <w:r>
        <w:t>o</w:t>
      </w:r>
      <w:r>
        <w:t>my. The results are quite striking. Newfoundland &amp; Labrador ranked first with a score of 10.0 out of 10. However, Newfoundland &amp; Labrador’s regulatory costs represent an alarming 1.7% of GDP. Quebec ranked last with regu</w:t>
      </w:r>
      <w:r>
        <w:t>latory costs at an even more worr</w:t>
      </w:r>
      <w:r>
        <w:t>i</w:t>
      </w:r>
      <w:r>
        <w:t xml:space="preserve">some 4.4% of GDP; it received a score of 0.0. </w:t>
      </w:r>
    </w:p>
    <w:p w:rsidR="00000000" w:rsidRDefault="002040E2">
      <w:pPr>
        <w:pStyle w:val="3subhead1"/>
      </w:pPr>
      <w:r>
        <w:lastRenderedPageBreak/>
        <w:t>Conclusion</w:t>
      </w:r>
    </w:p>
    <w:p w:rsidR="00000000" w:rsidRDefault="002040E2">
      <w:pPr>
        <w:pStyle w:val="1para1st"/>
        <w:rPr>
          <w:rStyle w:val="0query"/>
        </w:rPr>
      </w:pPr>
      <w:r>
        <w:t>The Provincial Investment Climate Index results indicate that, to varying degrees, all of the provinces have room to improve their public policies in order to attra</w:t>
      </w:r>
      <w:r>
        <w:t>ct investors to their jurisdictions. Provinces are encouraged to continue policies in areas where they performed well and to pursue reforms in areas where they fared poorly. Public policies that contribute to positive investment climates are those that enc</w:t>
      </w:r>
      <w:r>
        <w:t>ourage productive ec</w:t>
      </w:r>
      <w:r>
        <w:t>o</w:t>
      </w:r>
      <w:r>
        <w:t xml:space="preserve">nomic activities: competitive tax rates (personal and business), adequate and effective transportation infrastructure, </w:t>
      </w:r>
      <w:proofErr w:type="gramStart"/>
      <w:r>
        <w:t>prudent</w:t>
      </w:r>
      <w:proofErr w:type="gramEnd"/>
      <w:r>
        <w:t xml:space="preserve"> fiscal policies on the part of government, </w:t>
      </w:r>
      <w:proofErr w:type="spellStart"/>
      <w:r>
        <w:t>labour</w:t>
      </w:r>
      <w:proofErr w:type="spellEnd"/>
      <w:r>
        <w:t xml:space="preserve"> laws that promote flexibility and balance, and appropriate</w:t>
      </w:r>
      <w:r>
        <w:t>, cost-effective regulations.</w:t>
      </w:r>
      <w:r>
        <w:rPr>
          <w:rStyle w:val="0query"/>
        </w:rPr>
        <w:t xml:space="preserve"> </w:t>
      </w:r>
    </w:p>
    <w:sectPr w:rsidR="0000000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imesNewRomanPSMT">
    <w:panose1 w:val="00000000000000000000"/>
    <w:charset w:val="4D"/>
    <w:family w:val="auto"/>
    <w:notTrueType/>
    <w:pitch w:val="default"/>
    <w:sig w:usb0="00000003" w:usb1="00000000" w:usb2="00000000" w:usb3="00000000" w:csb0="00000001" w:csb1="00000000"/>
  </w:font>
  <w:font w:name="MyriadPro-Bold">
    <w:panose1 w:val="00000000000000000000"/>
    <w:charset w:val="4D"/>
    <w:family w:val="auto"/>
    <w:notTrueType/>
    <w:pitch w:val="default"/>
    <w:sig w:usb0="00000003" w:usb1="00000000" w:usb2="00000000" w:usb3="00000000" w:csb0="00000001" w:csb1="00000000"/>
  </w:font>
  <w:font w:name="WarnockPro-Regular">
    <w:panose1 w:val="00000000000000000000"/>
    <w:charset w:val="4D"/>
    <w:family w:val="auto"/>
    <w:notTrueType/>
    <w:pitch w:val="default"/>
    <w:sig w:usb0="00000003" w:usb1="00000000" w:usb2="00000000" w:usb3="00000000" w:csb0="00000001" w:csb1="00000000"/>
  </w:font>
  <w:font w:name="MyriadPro-Semibold">
    <w:panose1 w:val="00000000000000000000"/>
    <w:charset w:val="4D"/>
    <w:family w:val="auto"/>
    <w:notTrueType/>
    <w:pitch w:val="default"/>
    <w:sig w:usb0="00000003" w:usb1="00000000" w:usb2="00000000" w:usb3="00000000" w:csb0="00000001" w:csb1="00000000"/>
  </w:font>
  <w:font w:name="LucidaGrande">
    <w:panose1 w:val="00000000000000000000"/>
    <w:charset w:val="4D"/>
    <w:family w:val="auto"/>
    <w:notTrueType/>
    <w:pitch w:val="default"/>
    <w:sig w:usb0="00000003" w:usb1="00000000" w:usb2="00000000" w:usb3="00000000" w:csb0="00000001" w:csb1="00000000"/>
  </w:font>
  <w:font w:name="MyriadPro-It">
    <w:panose1 w:val="00000000000000000000"/>
    <w:charset w:val="4D"/>
    <w:family w:val="auto"/>
    <w:notTrueType/>
    <w:pitch w:val="default"/>
    <w:sig w:usb0="00000003" w:usb1="00000000" w:usb2="00000000" w:usb3="00000000" w:csb0="00000001" w:csb1="00000000"/>
  </w:font>
  <w:font w:name="MyriadPro-SemiboldI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E2"/>
    <w:rsid w:val="0020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NewRomanPSMT" w:hAnsi="TimesNewRomanPSMT" w:cs="TimesNewRomanPSMT"/>
      <w:color w:val="000000"/>
      <w:sz w:val="24"/>
      <w:szCs w:val="24"/>
    </w:rPr>
  </w:style>
  <w:style w:type="paragraph" w:customStyle="1" w:styleId="0secttl">
    <w:name w:val="0secttl"/>
    <w:basedOn w:val="NoParagraphStyle"/>
    <w:uiPriority w:val="99"/>
    <w:pPr>
      <w:keepLines/>
      <w:pageBreakBefore/>
      <w:suppressAutoHyphens/>
      <w:spacing w:after="900" w:line="450" w:lineRule="atLeast"/>
      <w:ind w:left="2100"/>
      <w:textAlignment w:val="baseline"/>
    </w:pPr>
    <w:rPr>
      <w:rFonts w:ascii="MyriadPro-Bold" w:hAnsi="MyriadPro-Bold" w:cs="MyriadPro-Bold"/>
      <w:b/>
      <w:bCs/>
      <w:spacing w:val="-11"/>
      <w:sz w:val="45"/>
      <w:szCs w:val="45"/>
    </w:rPr>
  </w:style>
  <w:style w:type="paragraph" w:customStyle="1" w:styleId="1para1st">
    <w:name w:val="1para1st"/>
    <w:basedOn w:val="NoParagraphStyle"/>
    <w:uiPriority w:val="99"/>
    <w:pPr>
      <w:spacing w:line="300" w:lineRule="atLeast"/>
      <w:ind w:left="2100"/>
      <w:jc w:val="both"/>
    </w:pPr>
    <w:rPr>
      <w:rFonts w:ascii="WarnockPro-Regular" w:hAnsi="WarnockPro-Regular" w:cs="WarnockPro-Regular"/>
      <w:sz w:val="22"/>
      <w:szCs w:val="22"/>
    </w:rPr>
  </w:style>
  <w:style w:type="paragraph" w:customStyle="1" w:styleId="1para2nd">
    <w:name w:val="1para2nd"/>
    <w:basedOn w:val="1para1st"/>
    <w:uiPriority w:val="99"/>
    <w:pPr>
      <w:ind w:firstLine="600"/>
    </w:pPr>
  </w:style>
  <w:style w:type="paragraph" w:customStyle="1" w:styleId="3subhead1">
    <w:name w:val="3subhead1"/>
    <w:basedOn w:val="NoParagraphStyle"/>
    <w:uiPriority w:val="99"/>
    <w:pPr>
      <w:keepNext/>
      <w:keepLines/>
      <w:suppressAutoHyphens/>
      <w:spacing w:before="600" w:after="300" w:line="300" w:lineRule="atLeast"/>
      <w:ind w:left="2100"/>
    </w:pPr>
    <w:rPr>
      <w:rFonts w:ascii="MyriadPro-Bold" w:hAnsi="MyriadPro-Bold" w:cs="MyriadPro-Bold"/>
      <w:b/>
      <w:bCs/>
      <w:spacing w:val="3"/>
      <w:sz w:val="30"/>
      <w:szCs w:val="30"/>
    </w:rPr>
  </w:style>
  <w:style w:type="paragraph" w:customStyle="1" w:styleId="3subhead2">
    <w:name w:val="3subhead2"/>
    <w:basedOn w:val="NoParagraphStyle"/>
    <w:uiPriority w:val="99"/>
    <w:pPr>
      <w:keepNext/>
      <w:spacing w:before="300" w:line="300" w:lineRule="atLeast"/>
      <w:ind w:left="2100"/>
    </w:pPr>
    <w:rPr>
      <w:rFonts w:ascii="MyriadPro-Semibold" w:hAnsi="MyriadPro-Semibold" w:cs="MyriadPro-Semibold"/>
      <w:spacing w:val="-2"/>
    </w:rPr>
  </w:style>
  <w:style w:type="paragraph" w:customStyle="1" w:styleId="BasicParagraph">
    <w:name w:val="[Basic Paragraph]"/>
    <w:basedOn w:val="NoParagraphStyle"/>
    <w:uiPriority w:val="99"/>
    <w:pPr>
      <w:spacing w:line="300" w:lineRule="atLeast"/>
    </w:pPr>
    <w:rPr>
      <w:rFonts w:ascii="WarnockPro-Regular" w:hAnsi="WarnockPro-Regular" w:cs="WarnockPro-Regular"/>
      <w:sz w:val="22"/>
      <w:szCs w:val="22"/>
    </w:rPr>
  </w:style>
  <w:style w:type="paragraph" w:customStyle="1" w:styleId="4listRun-in">
    <w:name w:val="4listRun-in"/>
    <w:basedOn w:val="BasicParagraph"/>
    <w:uiPriority w:val="99"/>
    <w:pPr>
      <w:tabs>
        <w:tab w:val="right" w:pos="1950"/>
      </w:tabs>
      <w:spacing w:before="300"/>
      <w:ind w:left="2100" w:hanging="2100"/>
      <w:jc w:val="both"/>
    </w:pPr>
  </w:style>
  <w:style w:type="character" w:customStyle="1" w:styleId="0fggtbl">
    <w:name w:val="0fggtbl"/>
    <w:uiPriority w:val="99"/>
    <w:rPr>
      <w:rFonts w:ascii="WarnockPro-Regular" w:hAnsi="WarnockPro-Regular" w:cs="WarnockPro-Regular"/>
      <w:color w:val="000000"/>
      <w:w w:val="100"/>
      <w:sz w:val="22"/>
      <w:szCs w:val="22"/>
    </w:rPr>
  </w:style>
  <w:style w:type="character" w:customStyle="1" w:styleId="0query">
    <w:name w:val="0query"/>
    <w:uiPriority w:val="99"/>
    <w:rPr>
      <w:rFonts w:ascii="LucidaGrande" w:hAnsi="LucidaGrande" w:cs="LucidaGrande"/>
      <w:color w:val="C10077"/>
      <w:w w:val="100"/>
      <w:sz w:val="20"/>
      <w:szCs w:val="20"/>
    </w:rPr>
  </w:style>
  <w:style w:type="character" w:customStyle="1" w:styleId="4run-in">
    <w:name w:val="4run-in"/>
    <w:uiPriority w:val="99"/>
    <w:rPr>
      <w:rFonts w:ascii="MyriadPro-It" w:hAnsi="MyriadPro-It" w:cs="MyriadPro-I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NewRomanPSMT" w:hAnsi="TimesNewRomanPSMT" w:cs="TimesNewRomanPSMT"/>
      <w:color w:val="000000"/>
      <w:sz w:val="24"/>
      <w:szCs w:val="24"/>
    </w:rPr>
  </w:style>
  <w:style w:type="paragraph" w:customStyle="1" w:styleId="0secttl">
    <w:name w:val="0secttl"/>
    <w:basedOn w:val="NoParagraphStyle"/>
    <w:uiPriority w:val="99"/>
    <w:pPr>
      <w:keepLines/>
      <w:pageBreakBefore/>
      <w:suppressAutoHyphens/>
      <w:spacing w:after="900" w:line="450" w:lineRule="atLeast"/>
      <w:ind w:left="2100"/>
      <w:textAlignment w:val="baseline"/>
    </w:pPr>
    <w:rPr>
      <w:rFonts w:ascii="MyriadPro-Bold" w:hAnsi="MyriadPro-Bold" w:cs="MyriadPro-Bold"/>
      <w:b/>
      <w:bCs/>
      <w:spacing w:val="-11"/>
      <w:sz w:val="45"/>
      <w:szCs w:val="45"/>
    </w:rPr>
  </w:style>
  <w:style w:type="paragraph" w:customStyle="1" w:styleId="1para1st">
    <w:name w:val="1para1st"/>
    <w:basedOn w:val="NoParagraphStyle"/>
    <w:uiPriority w:val="99"/>
    <w:pPr>
      <w:spacing w:line="300" w:lineRule="atLeast"/>
      <w:ind w:left="2100"/>
      <w:jc w:val="both"/>
    </w:pPr>
    <w:rPr>
      <w:rFonts w:ascii="WarnockPro-Regular" w:hAnsi="WarnockPro-Regular" w:cs="WarnockPro-Regular"/>
      <w:sz w:val="22"/>
      <w:szCs w:val="22"/>
    </w:rPr>
  </w:style>
  <w:style w:type="paragraph" w:customStyle="1" w:styleId="1para2nd">
    <w:name w:val="1para2nd"/>
    <w:basedOn w:val="1para1st"/>
    <w:uiPriority w:val="99"/>
    <w:pPr>
      <w:ind w:firstLine="600"/>
    </w:pPr>
  </w:style>
  <w:style w:type="paragraph" w:customStyle="1" w:styleId="3subhead1">
    <w:name w:val="3subhead1"/>
    <w:basedOn w:val="NoParagraphStyle"/>
    <w:uiPriority w:val="99"/>
    <w:pPr>
      <w:keepNext/>
      <w:keepLines/>
      <w:suppressAutoHyphens/>
      <w:spacing w:before="600" w:after="300" w:line="300" w:lineRule="atLeast"/>
      <w:ind w:left="2100"/>
    </w:pPr>
    <w:rPr>
      <w:rFonts w:ascii="MyriadPro-Bold" w:hAnsi="MyriadPro-Bold" w:cs="MyriadPro-Bold"/>
      <w:b/>
      <w:bCs/>
      <w:spacing w:val="3"/>
      <w:sz w:val="30"/>
      <w:szCs w:val="30"/>
    </w:rPr>
  </w:style>
  <w:style w:type="paragraph" w:customStyle="1" w:styleId="3subhead2">
    <w:name w:val="3subhead2"/>
    <w:basedOn w:val="NoParagraphStyle"/>
    <w:uiPriority w:val="99"/>
    <w:pPr>
      <w:keepNext/>
      <w:spacing w:before="300" w:line="300" w:lineRule="atLeast"/>
      <w:ind w:left="2100"/>
    </w:pPr>
    <w:rPr>
      <w:rFonts w:ascii="MyriadPro-Semibold" w:hAnsi="MyriadPro-Semibold" w:cs="MyriadPro-Semibold"/>
      <w:spacing w:val="-2"/>
    </w:rPr>
  </w:style>
  <w:style w:type="paragraph" w:customStyle="1" w:styleId="BasicParagraph">
    <w:name w:val="[Basic Paragraph]"/>
    <w:basedOn w:val="NoParagraphStyle"/>
    <w:uiPriority w:val="99"/>
    <w:pPr>
      <w:spacing w:line="300" w:lineRule="atLeast"/>
    </w:pPr>
    <w:rPr>
      <w:rFonts w:ascii="WarnockPro-Regular" w:hAnsi="WarnockPro-Regular" w:cs="WarnockPro-Regular"/>
      <w:sz w:val="22"/>
      <w:szCs w:val="22"/>
    </w:rPr>
  </w:style>
  <w:style w:type="paragraph" w:customStyle="1" w:styleId="4listRun-in">
    <w:name w:val="4listRun-in"/>
    <w:basedOn w:val="BasicParagraph"/>
    <w:uiPriority w:val="99"/>
    <w:pPr>
      <w:tabs>
        <w:tab w:val="right" w:pos="1950"/>
      </w:tabs>
      <w:spacing w:before="300"/>
      <w:ind w:left="2100" w:hanging="2100"/>
      <w:jc w:val="both"/>
    </w:pPr>
  </w:style>
  <w:style w:type="character" w:customStyle="1" w:styleId="0fggtbl">
    <w:name w:val="0fggtbl"/>
    <w:uiPriority w:val="99"/>
    <w:rPr>
      <w:rFonts w:ascii="WarnockPro-Regular" w:hAnsi="WarnockPro-Regular" w:cs="WarnockPro-Regular"/>
      <w:color w:val="000000"/>
      <w:w w:val="100"/>
      <w:sz w:val="22"/>
      <w:szCs w:val="22"/>
    </w:rPr>
  </w:style>
  <w:style w:type="character" w:customStyle="1" w:styleId="0query">
    <w:name w:val="0query"/>
    <w:uiPriority w:val="99"/>
    <w:rPr>
      <w:rFonts w:ascii="LucidaGrande" w:hAnsi="LucidaGrande" w:cs="LucidaGrande"/>
      <w:color w:val="C10077"/>
      <w:w w:val="100"/>
      <w:sz w:val="20"/>
      <w:szCs w:val="20"/>
    </w:rPr>
  </w:style>
  <w:style w:type="character" w:customStyle="1" w:styleId="4run-in">
    <w:name w:val="4run-in"/>
    <w:uiPriority w:val="99"/>
    <w:rPr>
      <w:rFonts w:ascii="MyriadPro-It" w:hAnsi="MyriadPro-It" w:cs="MyriadPro-I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6049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Cowley</dc:creator>
  <cp:lastModifiedBy>Peter Cowley</cp:lastModifiedBy>
  <cp:revision>2</cp:revision>
  <dcterms:created xsi:type="dcterms:W3CDTF">2014-12-28T17:24:00Z</dcterms:created>
  <dcterms:modified xsi:type="dcterms:W3CDTF">2014-12-28T17:24:00Z</dcterms:modified>
</cp:coreProperties>
</file>